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E" w:rsidRPr="003E61BE" w:rsidRDefault="00C62AAA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21.10</w:t>
      </w:r>
      <w:r w:rsidR="00932B50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.2021</w:t>
      </w:r>
      <w:r w:rsidR="003E61BE" w:rsidRPr="003E61B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99</w:t>
      </w:r>
    </w:p>
    <w:p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:rsidR="00F11697" w:rsidRPr="00F11697" w:rsidRDefault="00C62AAA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ГОРОХОВСКОЕ</w:t>
      </w:r>
      <w:r w:rsidR="00F11697"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МУНИЦИПАЛЬНОЕ ОБРАЗОВАНИЕ</w:t>
      </w:r>
    </w:p>
    <w:p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:rsidR="00F11697" w:rsidRPr="00F11697" w:rsidRDefault="00F11697" w:rsidP="00091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</w:pPr>
    </w:p>
    <w:p w:rsidR="00220346" w:rsidRDefault="00464538" w:rsidP="00091BB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</w:pP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ОБ УТВЕРЖДЕНИИ ПОРЯДКА ИСПОЛНЕНИЯ БЮДЖЕТА </w:t>
      </w:r>
      <w:r w:rsidR="00C62AAA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ГОРОХОВСКОГО</w:t>
      </w:r>
      <w:r w:rsidRPr="00464538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 xml:space="preserve"> МУНИЦИПАЛЬНОГО ОБРАЗОВАНИЯ ПО РАСХОДАМ, ИСТОЧНИКАМ ФИНАНСИРОВАНИЯ ДЕФИЦИТА </w:t>
      </w:r>
      <w:r w:rsidR="009D6A39">
        <w:rPr>
          <w:rFonts w:ascii="Arial" w:hAnsi="Arial" w:cs="Arial"/>
          <w:b/>
          <w:bCs/>
          <w:color w:val="2C2C2C"/>
          <w:sz w:val="32"/>
          <w:szCs w:val="32"/>
          <w:shd w:val="clear" w:color="auto" w:fill="FFFFFF"/>
        </w:rPr>
        <w:t>БЮДЖЕТА</w:t>
      </w:r>
    </w:p>
    <w:p w:rsidR="00464538" w:rsidRPr="00464538" w:rsidRDefault="00464538" w:rsidP="00091B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11697" w:rsidRDefault="006419DB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</w:t>
      </w:r>
      <w:r w:rsidR="00464538" w:rsidRP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статьями 219, 219.2</w:t>
      </w:r>
      <w:r w:rsidR="0046453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6419D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Бюджетного кодекса Российской Федерации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</w:t>
      </w:r>
      <w:r w:rsidR="0065148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руководствуясь</w:t>
      </w:r>
      <w:r w:rsidR="00F906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DC2A9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C62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3E61BE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администрация </w:t>
      </w:r>
      <w:r w:rsidR="00C62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B836E8" w:rsidRPr="003E61B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836E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036F55" w:rsidRPr="00497652" w:rsidRDefault="00036F55" w:rsidP="00036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F11697" w:rsidRPr="00497652" w:rsidRDefault="00F11697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 w:rsidRPr="00497652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ПОСТАНОВЛЯЕТ:</w:t>
      </w:r>
    </w:p>
    <w:p w:rsidR="00714FB3" w:rsidRPr="00497652" w:rsidRDefault="00714FB3" w:rsidP="00F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091BBB" w:rsidRDefault="00F11697" w:rsidP="00091B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1169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</w:t>
      </w:r>
      <w:r w:rsidR="00091BB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036F5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Утвердить П</w:t>
      </w:r>
      <w:r w:rsidR="0067455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орядок</w:t>
      </w:r>
      <w:r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0E0F3D" w:rsidRP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исполнения бюджета </w:t>
      </w:r>
      <w:r w:rsidR="00C62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="000E0F3D" w:rsidRP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по расходам, источникам финансиро</w:t>
      </w:r>
      <w:r w:rsidR="000E0F3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вания дефицита местного бюджета </w:t>
      </w:r>
      <w:r w:rsidR="007F257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(п</w:t>
      </w:r>
      <w:r w:rsidR="004A0B8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рил</w:t>
      </w:r>
      <w:r w:rsidR="005C68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агается</w:t>
      </w:r>
      <w:r w:rsidR="00091BB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</w:p>
    <w:p w:rsidR="00174FDD" w:rsidRPr="00174FDD" w:rsidRDefault="00174FDD" w:rsidP="0017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        </w:t>
      </w:r>
      <w:r w:rsidR="00F11697" w:rsidRPr="00F1169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 w:rsidR="004976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174FD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74FD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6C9E" w:rsidRPr="00F11697" w:rsidRDefault="00796C9E" w:rsidP="00091B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</w:t>
      </w:r>
      <w:r w:rsidRPr="00796C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 (обнародования)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F11697" w:rsidRPr="00497652" w:rsidRDefault="00F11697" w:rsidP="00F11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674557" w:rsidRPr="00674557" w:rsidRDefault="00674557" w:rsidP="003E61BE">
      <w:pPr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174FDD" w:rsidRDefault="00101021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74FDD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174F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0F3D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CD5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FD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</w:p>
    <w:p w:rsidR="003E61BE" w:rsidRPr="00FC2A82" w:rsidRDefault="003E61BE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2A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E61BE" w:rsidRPr="00FC2A82" w:rsidRDefault="00101021" w:rsidP="003E6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174FDD">
        <w:rPr>
          <w:rFonts w:ascii="Arial" w:eastAsia="Times New Roman" w:hAnsi="Arial" w:cs="Arial"/>
          <w:sz w:val="24"/>
          <w:szCs w:val="24"/>
          <w:lang w:eastAsia="ru-RU"/>
        </w:rPr>
        <w:t>К.С.Соловьёва</w:t>
      </w:r>
      <w:proofErr w:type="spellEnd"/>
    </w:p>
    <w:p w:rsidR="00F11697" w:rsidRPr="003E61BE" w:rsidRDefault="00F11697" w:rsidP="003E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EF65A9" w:rsidRDefault="000B2D68" w:rsidP="000B2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E726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11697" w:rsidRPr="00EF65A9" w:rsidRDefault="00417EA1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Утвер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ж</w:t>
      </w:r>
      <w:r>
        <w:rPr>
          <w:rFonts w:ascii="Courier New" w:eastAsia="Times New Roman" w:hAnsi="Courier New" w:cs="Courier New"/>
          <w:color w:val="2C2C2C"/>
          <w:lang w:eastAsia="ru-RU"/>
        </w:rPr>
        <w:t>де</w:t>
      </w:r>
      <w:r w:rsidR="009A0A14">
        <w:rPr>
          <w:rFonts w:ascii="Courier New" w:eastAsia="Times New Roman" w:hAnsi="Courier New" w:cs="Courier New"/>
          <w:color w:val="2C2C2C"/>
          <w:lang w:eastAsia="ru-RU"/>
        </w:rPr>
        <w:t>н</w:t>
      </w:r>
      <w:r>
        <w:rPr>
          <w:rFonts w:ascii="Courier New" w:eastAsia="Times New Roman" w:hAnsi="Courier New" w:cs="Courier New"/>
          <w:color w:val="2C2C2C"/>
          <w:lang w:eastAsia="ru-RU"/>
        </w:rPr>
        <w:t>о</w:t>
      </w:r>
      <w:r w:rsidR="006D1E98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F11697" w:rsidRPr="00EF65A9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постановлением</w:t>
      </w:r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администрации</w:t>
      </w:r>
    </w:p>
    <w:p w:rsidR="00F11697" w:rsidRPr="00EF65A9" w:rsidRDefault="00ED15C2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Гороховского</w:t>
      </w:r>
      <w:r w:rsidR="00F11697" w:rsidRPr="00EF65A9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образования</w:t>
      </w:r>
    </w:p>
    <w:p w:rsidR="00F11697" w:rsidRDefault="00417EA1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«</w:t>
      </w:r>
      <w:r w:rsidR="00ED15C2">
        <w:rPr>
          <w:rFonts w:ascii="Courier New" w:eastAsia="Times New Roman" w:hAnsi="Courier New" w:cs="Courier New"/>
          <w:color w:val="2C2C2C"/>
          <w:lang w:eastAsia="ru-RU"/>
        </w:rPr>
        <w:t>21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» </w:t>
      </w:r>
      <w:r w:rsidR="00ED15C2">
        <w:rPr>
          <w:rFonts w:ascii="Courier New" w:eastAsia="Times New Roman" w:hAnsi="Courier New" w:cs="Courier New"/>
          <w:color w:val="2C2C2C"/>
          <w:lang w:eastAsia="ru-RU"/>
        </w:rPr>
        <w:t>октября</w:t>
      </w:r>
      <w:r w:rsidR="00A4014E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 w:rsidR="00E928D0">
        <w:rPr>
          <w:rFonts w:ascii="Courier New" w:eastAsia="Times New Roman" w:hAnsi="Courier New" w:cs="Courier New"/>
          <w:color w:val="2C2C2C"/>
          <w:lang w:eastAsia="ru-RU"/>
        </w:rPr>
        <w:t>2021г. №</w:t>
      </w:r>
      <w:r w:rsidR="00ED15C2">
        <w:rPr>
          <w:rFonts w:ascii="Courier New" w:eastAsia="Times New Roman" w:hAnsi="Courier New" w:cs="Courier New"/>
          <w:color w:val="2C2C2C"/>
          <w:lang w:eastAsia="ru-RU"/>
        </w:rPr>
        <w:t>99</w:t>
      </w:r>
    </w:p>
    <w:p w:rsidR="00E25602" w:rsidRPr="00E25602" w:rsidRDefault="00E25602" w:rsidP="00EF65A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:rsidR="007973A2" w:rsidRDefault="007973A2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5602" w:rsidRPr="009A0A14" w:rsidRDefault="00D435F3" w:rsidP="00E25602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 </w:t>
      </w:r>
      <w:r w:rsidRPr="009A0A1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ED1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исполнения бюджета Гороховского</w:t>
      </w:r>
      <w:r w:rsidR="00417EA1" w:rsidRPr="009A0A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бюджета</w:t>
      </w:r>
    </w:p>
    <w:p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lastRenderedPageBreak/>
        <w:t>1. Общие положения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1.4. Кассовое обслуживание исполнения бюджета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муниципального образования (далее –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МО)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1.5. Лицевые счета в территориальном органе Федерального казначейства открываются</w:t>
      </w:r>
      <w:r w:rsidR="00EF4521">
        <w:rPr>
          <w:rFonts w:ascii="Arial" w:eastAsia="Times New Roman" w:hAnsi="Arial" w:cs="Arial"/>
          <w:lang w:eastAsia="ru-RU"/>
        </w:rPr>
        <w:t xml:space="preserve"> участникам бюджетного процесса 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</w:t>
      </w:r>
      <w:r w:rsidR="00827097">
        <w:rPr>
          <w:rFonts w:ascii="Arial" w:eastAsia="Times New Roman" w:hAnsi="Arial" w:cs="Arial"/>
          <w:lang w:eastAsia="ru-RU"/>
        </w:rPr>
        <w:t>казначейском</w:t>
      </w:r>
      <w:r w:rsidRPr="004737AF">
        <w:rPr>
          <w:rFonts w:ascii="Arial" w:eastAsia="Times New Roman" w:hAnsi="Arial" w:cs="Arial"/>
          <w:lang w:eastAsia="ru-RU"/>
        </w:rPr>
        <w:t xml:space="preserve"> счете </w:t>
      </w:r>
      <w:r w:rsidR="00827097">
        <w:rPr>
          <w:rFonts w:ascii="Arial" w:eastAsia="Times New Roman" w:hAnsi="Arial" w:cs="Arial"/>
          <w:lang w:eastAsia="ru-RU"/>
        </w:rPr>
        <w:t>03231</w:t>
      </w:r>
      <w:r w:rsidRPr="004737AF">
        <w:rPr>
          <w:rFonts w:ascii="Arial" w:eastAsia="Times New Roman" w:hAnsi="Arial" w:cs="Arial"/>
          <w:lang w:eastAsia="ru-RU"/>
        </w:rPr>
        <w:t xml:space="preserve"> "Средства местных бюджетов" </w:t>
      </w:r>
      <w:r w:rsidR="00827097">
        <w:rPr>
          <w:rFonts w:ascii="Arial" w:eastAsia="Times New Roman" w:hAnsi="Arial" w:cs="Arial"/>
          <w:lang w:eastAsia="ru-RU"/>
        </w:rPr>
        <w:t xml:space="preserve">(далее счет №03231) </w:t>
      </w:r>
      <w:r w:rsidRPr="004737AF">
        <w:rPr>
          <w:rFonts w:ascii="Arial" w:eastAsia="Times New Roman" w:hAnsi="Arial" w:cs="Arial"/>
          <w:lang w:eastAsia="ru-RU"/>
        </w:rPr>
        <w:t>в Отделении Иркутск.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1.6. Операции в рамках исполнения бюджета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</w:t>
      </w:r>
      <w:r w:rsidR="00EF4521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 и операции по их расходованию осуществляются через счет N </w:t>
      </w:r>
      <w:r w:rsidR="00827097">
        <w:rPr>
          <w:rFonts w:ascii="Arial" w:eastAsia="Times New Roman" w:hAnsi="Arial" w:cs="Arial"/>
          <w:lang w:eastAsia="ru-RU"/>
        </w:rPr>
        <w:t>03231</w:t>
      </w:r>
      <w:r w:rsidRPr="004737AF">
        <w:rPr>
          <w:rFonts w:ascii="Arial" w:eastAsia="Times New Roman" w:hAnsi="Arial" w:cs="Arial"/>
          <w:lang w:eastAsia="ru-RU"/>
        </w:rPr>
        <w:t xml:space="preserve"> "Средства местных бюджетов", открытый в Управлении Федерального казначейства по Иркутской области.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Pr="004737AF">
        <w:rPr>
          <w:rFonts w:ascii="Arial" w:eastAsia="Times New Roman" w:hAnsi="Arial" w:cs="Arial"/>
          <w:lang w:eastAsia="ru-RU"/>
        </w:rPr>
        <w:t xml:space="preserve"> МО.</w:t>
      </w:r>
    </w:p>
    <w:p w:rsidR="004737AF" w:rsidRPr="004737AF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737AF">
        <w:rPr>
          <w:rFonts w:ascii="Arial" w:eastAsia="Times New Roman" w:hAnsi="Arial" w:cs="Arial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4737AF" w:rsidRPr="009A0A14" w:rsidRDefault="004737AF" w:rsidP="004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0A14" w:rsidRPr="009A0A14" w:rsidRDefault="009A0A14" w:rsidP="00640B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2. Принятие бюджетных обязательств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 </w:t>
      </w:r>
      <w:r w:rsidRPr="001E1A54">
        <w:rPr>
          <w:rFonts w:ascii="Arial" w:eastAsia="Times New Roman" w:hAnsi="Arial" w:cs="Arial"/>
          <w:lang w:eastAsia="ru-RU"/>
        </w:rPr>
        <w:t>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.4. К бюджетным обязательствам, принимаемым в соответствии с правовым актом (кроме публичных нормативных обязательств), соглашением, в частн</w:t>
      </w:r>
      <w:r>
        <w:rPr>
          <w:rFonts w:ascii="Arial" w:eastAsia="Times New Roman" w:hAnsi="Arial" w:cs="Arial"/>
          <w:lang w:eastAsia="ru-RU"/>
        </w:rPr>
        <w:t>ости, относятся обязательства</w:t>
      </w:r>
      <w:r w:rsidRPr="001E1A54">
        <w:rPr>
          <w:rFonts w:ascii="Arial" w:eastAsia="Times New Roman" w:hAnsi="Arial" w:cs="Arial"/>
          <w:lang w:eastAsia="ru-RU"/>
        </w:rPr>
        <w:t>: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по </w:t>
      </w:r>
      <w:r w:rsidRPr="001E1A54">
        <w:rPr>
          <w:rFonts w:ascii="Arial" w:eastAsia="Times New Roman" w:hAnsi="Arial" w:cs="Arial"/>
          <w:lang w:eastAsia="ru-RU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осуществлению платежей, взносов, безвозмездных перечислений в рамках исполнения договоров (соглашений);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обслуживанию муниципального долга;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E1A54">
        <w:rPr>
          <w:rFonts w:ascii="Arial" w:eastAsia="Times New Roman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 xml:space="preserve">по </w:t>
      </w:r>
      <w:r w:rsidRPr="001E1A54">
        <w:rPr>
          <w:rFonts w:ascii="Arial" w:eastAsia="Times New Roman" w:hAnsi="Arial" w:cs="Arial"/>
          <w:lang w:eastAsia="ru-RU"/>
        </w:rPr>
        <w:t>исполнению судебных решений.</w:t>
      </w:r>
    </w:p>
    <w:p w:rsid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1E1A54">
        <w:rPr>
          <w:rFonts w:ascii="Arial" w:eastAsia="Times New Roman" w:hAnsi="Arial" w:cs="Arial"/>
          <w:lang w:eastAsia="ru-RU"/>
        </w:rPr>
        <w:t>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1E1A54" w:rsidRPr="009A0A1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3. Подтверждение денежных обязательств</w:t>
      </w:r>
    </w:p>
    <w:p w:rsidR="001E1A54" w:rsidRPr="001E1A54" w:rsidRDefault="001E1A54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Pr="001E1A54">
        <w:rPr>
          <w:rFonts w:ascii="Arial" w:eastAsia="Times New Roman" w:hAnsi="Arial" w:cs="Arial"/>
          <w:lang w:eastAsia="ru-RU"/>
        </w:rPr>
        <w:t xml:space="preserve">.1. Подтверждение денежных обязательств заключается в подтверждении главными распорядителями и администратором источников финансирования дефицита бюджета обязанности оплатить за счет средств </w:t>
      </w:r>
      <w:r w:rsidR="006E040C">
        <w:rPr>
          <w:rFonts w:ascii="Arial" w:eastAsia="Times New Roman" w:hAnsi="Arial" w:cs="Arial"/>
          <w:lang w:eastAsia="ru-RU"/>
        </w:rPr>
        <w:t xml:space="preserve">местного </w:t>
      </w:r>
      <w:r w:rsidRPr="001E1A54">
        <w:rPr>
          <w:rFonts w:ascii="Arial" w:eastAsia="Times New Roman" w:hAnsi="Arial" w:cs="Arial"/>
          <w:lang w:eastAsia="ru-RU"/>
        </w:rPr>
        <w:t>бюджета принятые денежные обязательства.</w:t>
      </w:r>
    </w:p>
    <w:p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 xml:space="preserve">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</w:t>
      </w:r>
      <w:proofErr w:type="gramStart"/>
      <w:r w:rsidR="001E1A54" w:rsidRPr="001E1A54">
        <w:rPr>
          <w:rFonts w:ascii="Arial" w:eastAsia="Times New Roman" w:hAnsi="Arial" w:cs="Arial"/>
          <w:lang w:eastAsia="ru-RU"/>
        </w:rPr>
        <w:t xml:space="preserve">в </w:t>
      </w:r>
      <w:r w:rsidR="00DE1B17">
        <w:rPr>
          <w:rFonts w:ascii="Arial" w:eastAsia="Times New Roman" w:hAnsi="Arial" w:cs="Arial"/>
          <w:lang w:eastAsia="ru-RU"/>
        </w:rPr>
        <w:t xml:space="preserve"> пре</w:t>
      </w:r>
      <w:r w:rsidR="001E1A54" w:rsidRPr="001E1A54">
        <w:rPr>
          <w:rFonts w:ascii="Arial" w:eastAsia="Times New Roman" w:hAnsi="Arial" w:cs="Arial"/>
          <w:lang w:eastAsia="ru-RU"/>
        </w:rPr>
        <w:t>делах</w:t>
      </w:r>
      <w:proofErr w:type="gramEnd"/>
      <w:r w:rsidR="00DE1B17">
        <w:rPr>
          <w:rFonts w:ascii="Arial" w:eastAsia="Times New Roman" w:hAnsi="Arial" w:cs="Arial"/>
          <w:lang w:eastAsia="ru-RU"/>
        </w:rPr>
        <w:t xml:space="preserve"> </w:t>
      </w:r>
      <w:r w:rsidR="001E1A54" w:rsidRPr="001E1A54">
        <w:rPr>
          <w:rFonts w:ascii="Arial" w:eastAsia="Times New Roman" w:hAnsi="Arial" w:cs="Arial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3.3. </w:t>
      </w:r>
      <w:r w:rsidR="001E1A54" w:rsidRPr="001E1A54">
        <w:rPr>
          <w:rFonts w:ascii="Arial" w:eastAsia="Times New Roman" w:hAnsi="Arial" w:cs="Arial"/>
          <w:lang w:eastAsia="ru-RU"/>
        </w:rPr>
        <w:t>Подтверждение денежных обязательств по публичным нормативным обязательствам осуществляется главным распорядителем в пределах</w:t>
      </w:r>
      <w:r w:rsidR="00A832CE">
        <w:rPr>
          <w:rFonts w:ascii="Arial" w:eastAsia="Times New Roman" w:hAnsi="Arial" w:cs="Arial"/>
          <w:lang w:eastAsia="ru-RU"/>
        </w:rPr>
        <w:t>,</w:t>
      </w:r>
      <w:r w:rsidR="001E1A54" w:rsidRPr="001E1A54">
        <w:rPr>
          <w:rFonts w:ascii="Arial" w:eastAsia="Times New Roman" w:hAnsi="Arial" w:cs="Arial"/>
          <w:lang w:eastAsia="ru-RU"/>
        </w:rPr>
        <w:t xml:space="preserve"> доведенных до них бюджетных ассигнований.</w:t>
      </w:r>
    </w:p>
    <w:p w:rsidR="001E1A54" w:rsidRPr="001E1A5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>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1E1A54" w:rsidRPr="001E1A54">
        <w:rPr>
          <w:rFonts w:ascii="Arial" w:eastAsia="Times New Roman" w:hAnsi="Arial" w:cs="Arial"/>
          <w:lang w:eastAsia="ru-RU"/>
        </w:rPr>
        <w:t>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BF6E72" w:rsidRPr="009A0A14" w:rsidRDefault="00BF6E72" w:rsidP="001E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31DCF">
        <w:rPr>
          <w:rFonts w:ascii="Arial" w:eastAsia="Times New Roman" w:hAnsi="Arial" w:cs="Arial"/>
          <w:b/>
          <w:lang w:eastAsia="ru-RU"/>
        </w:rPr>
        <w:t>4. Санкционирование оплаты денежных обязательств</w:t>
      </w:r>
    </w:p>
    <w:p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 xml:space="preserve">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</w:t>
      </w:r>
      <w:r w:rsidR="004B48DC" w:rsidRPr="004B48DC">
        <w:rPr>
          <w:rFonts w:ascii="Arial" w:eastAsia="Times New Roman" w:hAnsi="Arial" w:cs="Arial"/>
          <w:lang w:eastAsia="ru-RU"/>
        </w:rPr>
        <w:lastRenderedPageBreak/>
        <w:t>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 xml:space="preserve">.2. Ответственный работник Финансового органа готовит расходное расписание, которое подписывается Главой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="004B48DC" w:rsidRPr="004B48D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муниципального образования</w:t>
      </w:r>
      <w:r w:rsidR="004B48DC" w:rsidRPr="004B48DC">
        <w:rPr>
          <w:rFonts w:ascii="Arial" w:eastAsia="Times New Roman" w:hAnsi="Arial" w:cs="Arial"/>
          <w:lang w:eastAsia="ru-RU"/>
        </w:rPr>
        <w:t xml:space="preserve"> на основании представленных платежных документов и передает его в электронном виде в </w:t>
      </w:r>
      <w:r w:rsidR="0068489D">
        <w:rPr>
          <w:rFonts w:ascii="Arial" w:eastAsia="Times New Roman" w:hAnsi="Arial" w:cs="Arial"/>
          <w:lang w:eastAsia="ru-RU"/>
        </w:rPr>
        <w:t>УФК по Иркутской области</w:t>
      </w:r>
      <w:r w:rsidR="004B48DC" w:rsidRPr="004B48DC">
        <w:rPr>
          <w:rFonts w:ascii="Arial" w:eastAsia="Times New Roman" w:hAnsi="Arial" w:cs="Arial"/>
          <w:lang w:eastAsia="ru-RU"/>
        </w:rPr>
        <w:t xml:space="preserve">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4B48DC" w:rsidRPr="004B48DC" w:rsidRDefault="00231A6D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.3. Платежные документы проверяются на наличие в них следующих реквизитов и показателей: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4) суммы налога на добавленную стоимость (при наличии);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</w:t>
      </w:r>
      <w:r w:rsidR="00A61065">
        <w:rPr>
          <w:rFonts w:ascii="Arial" w:eastAsia="Times New Roman" w:hAnsi="Arial" w:cs="Arial"/>
          <w:lang w:eastAsia="ru-RU"/>
        </w:rPr>
        <w:t>Ушаков</w:t>
      </w:r>
      <w:r w:rsidRPr="004B48DC">
        <w:rPr>
          <w:rFonts w:ascii="Arial" w:eastAsia="Times New Roman" w:hAnsi="Arial" w:cs="Arial"/>
          <w:lang w:eastAsia="ru-RU"/>
        </w:rPr>
        <w:t>ского</w:t>
      </w:r>
      <w:r w:rsidR="00A61065" w:rsidRPr="00A61065">
        <w:rPr>
          <w:rFonts w:ascii="Arial" w:eastAsia="Times New Roman" w:hAnsi="Arial" w:cs="Arial"/>
          <w:lang w:eastAsia="ru-RU"/>
        </w:rPr>
        <w:t xml:space="preserve"> </w:t>
      </w:r>
      <w:r w:rsidR="00A61065" w:rsidRPr="00EF3879">
        <w:rPr>
          <w:rFonts w:ascii="Arial" w:eastAsia="Times New Roman" w:hAnsi="Arial" w:cs="Arial"/>
          <w:lang w:eastAsia="ru-RU"/>
        </w:rPr>
        <w:t>муниципального образования</w:t>
      </w:r>
      <w:r w:rsidRPr="004B48DC">
        <w:rPr>
          <w:rFonts w:ascii="Arial" w:eastAsia="Times New Roman" w:hAnsi="Arial" w:cs="Arial"/>
          <w:lang w:eastAsia="ru-RU"/>
        </w:rPr>
        <w:t>.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4</w:t>
      </w:r>
      <w:r w:rsidR="004B48DC" w:rsidRPr="004B48DC">
        <w:rPr>
          <w:rFonts w:ascii="Arial" w:eastAsia="Times New Roman" w:hAnsi="Arial" w:cs="Arial"/>
          <w:lang w:eastAsia="ru-RU"/>
        </w:rPr>
        <w:t>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4B48DC" w:rsidRPr="004B48DC" w:rsidRDefault="002364A6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4B48DC" w:rsidRPr="004B48DC">
        <w:rPr>
          <w:rFonts w:ascii="Arial" w:eastAsia="Times New Roman" w:hAnsi="Arial" w:cs="Arial"/>
          <w:lang w:eastAsia="ru-RU"/>
        </w:rPr>
        <w:t>.7. Главный распорядитель в соответствии с установленной сферой управления (деятельности) осуществляет кон</w:t>
      </w:r>
      <w:r w:rsidR="00C64D1E">
        <w:rPr>
          <w:rFonts w:ascii="Arial" w:eastAsia="Times New Roman" w:hAnsi="Arial" w:cs="Arial"/>
          <w:lang w:eastAsia="ru-RU"/>
        </w:rPr>
        <w:t>троль и несет ответственность за</w:t>
      </w:r>
      <w:r w:rsidR="004B48DC" w:rsidRPr="004B48DC">
        <w:rPr>
          <w:rFonts w:ascii="Arial" w:eastAsia="Times New Roman" w:hAnsi="Arial" w:cs="Arial"/>
          <w:lang w:eastAsia="ru-RU"/>
        </w:rPr>
        <w:t>: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4B48DC" w:rsidRPr="004B48DC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48DC">
        <w:rPr>
          <w:rFonts w:ascii="Arial" w:eastAsia="Times New Roman" w:hAnsi="Arial" w:cs="Arial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</w:t>
      </w:r>
      <w:r>
        <w:rPr>
          <w:rFonts w:ascii="Arial" w:eastAsia="Times New Roman" w:hAnsi="Arial" w:cs="Arial"/>
          <w:lang w:eastAsia="ru-RU"/>
        </w:rPr>
        <w:t>и действующим законодательством.</w:t>
      </w:r>
    </w:p>
    <w:p w:rsidR="004B48DC" w:rsidRPr="009A0A14" w:rsidRDefault="004B48DC" w:rsidP="004B4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5.</w:t>
      </w:r>
      <w:r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b/>
          <w:lang w:eastAsia="ru-RU"/>
        </w:rPr>
        <w:t>Подтверждение исполнения денежных обязательств</w:t>
      </w: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A0A14">
        <w:rPr>
          <w:rFonts w:ascii="Arial" w:eastAsia="Times New Roman" w:hAnsi="Arial" w:cs="Arial"/>
          <w:lang w:eastAsia="ru-RU"/>
        </w:rPr>
        <w:t xml:space="preserve">5.1. После окончания процедур санкционирования расходов </w:t>
      </w:r>
      <w:r w:rsidR="00BB6C6E">
        <w:rPr>
          <w:rFonts w:ascii="Arial" w:eastAsia="Times New Roman" w:hAnsi="Arial" w:cs="Arial"/>
          <w:lang w:eastAsia="ru-RU"/>
        </w:rPr>
        <w:t xml:space="preserve">местного </w:t>
      </w:r>
      <w:r w:rsidRPr="009A0A14">
        <w:rPr>
          <w:rFonts w:ascii="Arial" w:eastAsia="Times New Roman" w:hAnsi="Arial" w:cs="Arial"/>
          <w:lang w:eastAsia="ru-RU"/>
        </w:rPr>
        <w:t xml:space="preserve">бюджета, источников финансирования дефицита бюджета </w:t>
      </w:r>
      <w:r w:rsidR="004C2363">
        <w:rPr>
          <w:rFonts w:ascii="Arial" w:eastAsia="Times New Roman" w:hAnsi="Arial" w:cs="Arial"/>
          <w:lang w:eastAsia="ru-RU"/>
        </w:rPr>
        <w:t>УФК по Иркутской области</w:t>
      </w:r>
      <w:r w:rsidR="004C2363" w:rsidRPr="009A0A14">
        <w:rPr>
          <w:rFonts w:ascii="Arial" w:eastAsia="Times New Roman" w:hAnsi="Arial" w:cs="Arial"/>
          <w:lang w:eastAsia="ru-RU"/>
        </w:rPr>
        <w:t xml:space="preserve"> </w:t>
      </w:r>
      <w:r w:rsidR="007A242F">
        <w:rPr>
          <w:rFonts w:ascii="Arial" w:eastAsia="Times New Roman" w:hAnsi="Arial" w:cs="Arial"/>
          <w:lang w:eastAsia="ru-RU"/>
        </w:rPr>
        <w:t>формирует в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="007A242F" w:rsidRPr="00712F52">
        <w:rPr>
          <w:rFonts w:ascii="Arial" w:eastAsia="Times New Roman" w:hAnsi="Arial" w:cs="Arial"/>
          <w:lang w:eastAsia="ru-RU"/>
        </w:rPr>
        <w:t>п</w:t>
      </w:r>
      <w:r w:rsidR="007A242F">
        <w:rPr>
          <w:rFonts w:ascii="Arial" w:eastAsia="Times New Roman" w:hAnsi="Arial" w:cs="Arial"/>
          <w:lang w:eastAsia="ru-RU"/>
        </w:rPr>
        <w:t>рограммном комплексе</w:t>
      </w:r>
      <w:r w:rsidR="007A242F" w:rsidRPr="00712F52">
        <w:rPr>
          <w:rFonts w:ascii="Arial" w:eastAsia="Times New Roman" w:hAnsi="Arial" w:cs="Arial"/>
          <w:lang w:eastAsia="ru-RU"/>
        </w:rPr>
        <w:t xml:space="preserve"> СУФД </w:t>
      </w:r>
      <w:r w:rsidRPr="009A0A14">
        <w:rPr>
          <w:rFonts w:ascii="Arial" w:eastAsia="Times New Roman" w:hAnsi="Arial" w:cs="Arial"/>
          <w:lang w:eastAsia="ru-RU"/>
        </w:rPr>
        <w:t xml:space="preserve">платежные документы, подтверждающие списание денежных средств с </w:t>
      </w:r>
      <w:r w:rsidR="007A242F">
        <w:rPr>
          <w:rFonts w:ascii="Arial" w:eastAsia="Times New Roman" w:hAnsi="Arial" w:cs="Arial"/>
          <w:lang w:eastAsia="ru-RU"/>
        </w:rPr>
        <w:t>казначейского</w:t>
      </w:r>
      <w:r w:rsidRPr="009A0A14">
        <w:rPr>
          <w:rFonts w:ascii="Arial" w:eastAsia="Times New Roman" w:hAnsi="Arial" w:cs="Arial"/>
          <w:lang w:eastAsia="ru-RU"/>
        </w:rPr>
        <w:t xml:space="preserve"> счета бюджета </w:t>
      </w:r>
      <w:r w:rsidR="00DE1B17">
        <w:rPr>
          <w:rFonts w:ascii="Arial" w:eastAsia="Times New Roman" w:hAnsi="Arial" w:cs="Arial"/>
          <w:lang w:eastAsia="ru-RU"/>
        </w:rPr>
        <w:t>Гороховского</w:t>
      </w:r>
      <w:r w:rsidR="007A242F" w:rsidRPr="001747DA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  <w:r w:rsidR="007A242F" w:rsidRPr="009A0A14">
        <w:rPr>
          <w:rFonts w:ascii="Arial" w:eastAsia="Times New Roman" w:hAnsi="Arial" w:cs="Arial"/>
          <w:lang w:eastAsia="ru-RU"/>
        </w:rPr>
        <w:t xml:space="preserve"> </w:t>
      </w:r>
      <w:r w:rsidRPr="009A0A14">
        <w:rPr>
          <w:rFonts w:ascii="Arial" w:eastAsia="Times New Roman" w:hAnsi="Arial" w:cs="Arial"/>
          <w:lang w:eastAsia="ru-RU"/>
        </w:rPr>
        <w:t>в пользу физических или юридических лиц, бюджетов бюджетной системы,</w:t>
      </w:r>
      <w:r w:rsidR="000B493C">
        <w:rPr>
          <w:rFonts w:ascii="Arial" w:eastAsia="Times New Roman" w:hAnsi="Arial" w:cs="Arial"/>
          <w:lang w:eastAsia="ru-RU"/>
        </w:rPr>
        <w:t xml:space="preserve"> субъектов международного права, </w:t>
      </w:r>
      <w:r w:rsidR="000B493C" w:rsidRPr="000B493C">
        <w:rPr>
          <w:rFonts w:ascii="Arial" w:eastAsia="Times New Roman" w:hAnsi="Arial" w:cs="Arial"/>
          <w:lang w:eastAsia="ru-RU"/>
        </w:rPr>
        <w:t xml:space="preserve">а также проверки иных документов, подтверждающих проведение </w:t>
      </w:r>
      <w:proofErr w:type="spellStart"/>
      <w:r w:rsidR="000B493C" w:rsidRPr="000B493C">
        <w:rPr>
          <w:rFonts w:ascii="Arial" w:eastAsia="Times New Roman" w:hAnsi="Arial" w:cs="Arial"/>
          <w:lang w:eastAsia="ru-RU"/>
        </w:rPr>
        <w:t>неденежных</w:t>
      </w:r>
      <w:proofErr w:type="spellEnd"/>
      <w:r w:rsidR="000B493C" w:rsidRPr="000B493C">
        <w:rPr>
          <w:rFonts w:ascii="Arial" w:eastAsia="Times New Roman" w:hAnsi="Arial" w:cs="Arial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9A0A14" w:rsidRPr="009A0A14" w:rsidRDefault="000B493C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5.2</w:t>
      </w:r>
      <w:r w:rsidR="009A0A14" w:rsidRPr="009A0A14">
        <w:rPr>
          <w:rFonts w:ascii="Arial" w:eastAsia="Times New Roman" w:hAnsi="Arial" w:cs="Arial"/>
          <w:lang w:eastAsia="ru-RU"/>
        </w:rPr>
        <w:t>. Подтверждение исполнения денежных обязательств ГРБС и бюджетополучателям, лицевые счета которых открыты в подразделениях УФК</w:t>
      </w:r>
      <w:r w:rsidR="0063793C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9A0A14" w:rsidRPr="009A0A14">
        <w:rPr>
          <w:rFonts w:ascii="Arial" w:eastAsia="Times New Roman" w:hAnsi="Arial" w:cs="Arial"/>
          <w:lang w:eastAsia="ru-RU"/>
        </w:rPr>
        <w:t>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9A0A14" w:rsidRPr="009A0A14" w:rsidRDefault="009A0A14" w:rsidP="009A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0A14" w:rsidRDefault="009A0A14" w:rsidP="009A0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A0A14">
        <w:rPr>
          <w:rFonts w:ascii="Arial" w:eastAsia="Times New Roman" w:hAnsi="Arial" w:cs="Arial"/>
          <w:b/>
          <w:lang w:eastAsia="ru-RU"/>
        </w:rPr>
        <w:t>6. Внесение изменений в произведенные расходы</w:t>
      </w:r>
    </w:p>
    <w:p w:rsidR="00814D94" w:rsidRPr="009A0A14" w:rsidRDefault="00814D94" w:rsidP="00814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6.1. </w:t>
      </w:r>
      <w:r w:rsidRPr="00814D94">
        <w:rPr>
          <w:rFonts w:ascii="Arial" w:eastAsia="Times New Roman" w:hAnsi="Arial" w:cs="Arial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814D94">
        <w:rPr>
          <w:rFonts w:ascii="Arial" w:eastAsia="Times New Roman" w:hAnsi="Arial" w:cs="Arial"/>
          <w:lang w:eastAsia="ru-RU"/>
        </w:rPr>
        <w:t>неденежных</w:t>
      </w:r>
      <w:proofErr w:type="spellEnd"/>
      <w:r w:rsidRPr="00814D94">
        <w:rPr>
          <w:rFonts w:ascii="Arial" w:eastAsia="Times New Roman" w:hAnsi="Arial" w:cs="Arial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</w:t>
      </w:r>
      <w:r w:rsidRPr="00814D94">
        <w:rPr>
          <w:rFonts w:ascii="Arial" w:eastAsia="Times New Roman" w:hAnsi="Arial" w:cs="Arial"/>
          <w:b/>
          <w:lang w:eastAsia="ru-RU"/>
        </w:rPr>
        <w:t>.</w:t>
      </w:r>
    </w:p>
    <w:sectPr w:rsidR="00814D94" w:rsidRPr="009A0A14" w:rsidSect="00091BB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54C8"/>
    <w:multiLevelType w:val="multilevel"/>
    <w:tmpl w:val="6FA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1D"/>
    <w:rsid w:val="0000775F"/>
    <w:rsid w:val="00036F55"/>
    <w:rsid w:val="0005623C"/>
    <w:rsid w:val="00086A17"/>
    <w:rsid w:val="00091BBB"/>
    <w:rsid w:val="0009561D"/>
    <w:rsid w:val="000B2D68"/>
    <w:rsid w:val="000B415B"/>
    <w:rsid w:val="000B493C"/>
    <w:rsid w:val="000C1A4E"/>
    <w:rsid w:val="000E0F3D"/>
    <w:rsid w:val="00101021"/>
    <w:rsid w:val="00171CDE"/>
    <w:rsid w:val="001747DA"/>
    <w:rsid w:val="00174FDD"/>
    <w:rsid w:val="00177930"/>
    <w:rsid w:val="0018181B"/>
    <w:rsid w:val="001A1CE9"/>
    <w:rsid w:val="001C3238"/>
    <w:rsid w:val="001E1A54"/>
    <w:rsid w:val="002115F3"/>
    <w:rsid w:val="00220346"/>
    <w:rsid w:val="0023117F"/>
    <w:rsid w:val="00231A6D"/>
    <w:rsid w:val="002364A6"/>
    <w:rsid w:val="00265A06"/>
    <w:rsid w:val="0029595C"/>
    <w:rsid w:val="002A0916"/>
    <w:rsid w:val="002C1FC9"/>
    <w:rsid w:val="002D09D5"/>
    <w:rsid w:val="00325287"/>
    <w:rsid w:val="00366C71"/>
    <w:rsid w:val="003C3F62"/>
    <w:rsid w:val="003E61BE"/>
    <w:rsid w:val="00417EA1"/>
    <w:rsid w:val="0044711B"/>
    <w:rsid w:val="00450EB8"/>
    <w:rsid w:val="00453034"/>
    <w:rsid w:val="00464538"/>
    <w:rsid w:val="004737AF"/>
    <w:rsid w:val="00494181"/>
    <w:rsid w:val="00497652"/>
    <w:rsid w:val="004A0B85"/>
    <w:rsid w:val="004B48DC"/>
    <w:rsid w:val="004B7CB4"/>
    <w:rsid w:val="004C2363"/>
    <w:rsid w:val="004C7DA3"/>
    <w:rsid w:val="004E7263"/>
    <w:rsid w:val="005747C0"/>
    <w:rsid w:val="005806A4"/>
    <w:rsid w:val="005A0FB8"/>
    <w:rsid w:val="005C68EE"/>
    <w:rsid w:val="005D2B27"/>
    <w:rsid w:val="00615523"/>
    <w:rsid w:val="0063793C"/>
    <w:rsid w:val="006379F8"/>
    <w:rsid w:val="00640B3C"/>
    <w:rsid w:val="006419DB"/>
    <w:rsid w:val="00651486"/>
    <w:rsid w:val="0065487F"/>
    <w:rsid w:val="006619C1"/>
    <w:rsid w:val="00674557"/>
    <w:rsid w:val="0068489D"/>
    <w:rsid w:val="0068551A"/>
    <w:rsid w:val="0069072D"/>
    <w:rsid w:val="006A1281"/>
    <w:rsid w:val="006D1E98"/>
    <w:rsid w:val="006E040C"/>
    <w:rsid w:val="0071073A"/>
    <w:rsid w:val="00712F52"/>
    <w:rsid w:val="00714FB3"/>
    <w:rsid w:val="00724552"/>
    <w:rsid w:val="0073120B"/>
    <w:rsid w:val="007343E0"/>
    <w:rsid w:val="00746EEB"/>
    <w:rsid w:val="00771F13"/>
    <w:rsid w:val="00780243"/>
    <w:rsid w:val="007869CA"/>
    <w:rsid w:val="007967CE"/>
    <w:rsid w:val="00796C9E"/>
    <w:rsid w:val="007973A2"/>
    <w:rsid w:val="00797C7B"/>
    <w:rsid w:val="007A242F"/>
    <w:rsid w:val="007B26F9"/>
    <w:rsid w:val="007D43CA"/>
    <w:rsid w:val="007D48CB"/>
    <w:rsid w:val="007D6AF2"/>
    <w:rsid w:val="007F257E"/>
    <w:rsid w:val="008006B4"/>
    <w:rsid w:val="00814D94"/>
    <w:rsid w:val="00822E48"/>
    <w:rsid w:val="00827097"/>
    <w:rsid w:val="00872A3A"/>
    <w:rsid w:val="0087665E"/>
    <w:rsid w:val="0088035D"/>
    <w:rsid w:val="008901B1"/>
    <w:rsid w:val="008C69AC"/>
    <w:rsid w:val="008E168A"/>
    <w:rsid w:val="0092198B"/>
    <w:rsid w:val="00932B50"/>
    <w:rsid w:val="00947EC3"/>
    <w:rsid w:val="009811D7"/>
    <w:rsid w:val="009A0A14"/>
    <w:rsid w:val="009D15D4"/>
    <w:rsid w:val="009D6A39"/>
    <w:rsid w:val="009E3AAF"/>
    <w:rsid w:val="00A05070"/>
    <w:rsid w:val="00A10789"/>
    <w:rsid w:val="00A23CC8"/>
    <w:rsid w:val="00A33F2C"/>
    <w:rsid w:val="00A34801"/>
    <w:rsid w:val="00A4014E"/>
    <w:rsid w:val="00A469A3"/>
    <w:rsid w:val="00A61065"/>
    <w:rsid w:val="00A7537B"/>
    <w:rsid w:val="00A832CE"/>
    <w:rsid w:val="00A85566"/>
    <w:rsid w:val="00B15FEF"/>
    <w:rsid w:val="00B54207"/>
    <w:rsid w:val="00B650F1"/>
    <w:rsid w:val="00B836E8"/>
    <w:rsid w:val="00B93634"/>
    <w:rsid w:val="00BB6C6E"/>
    <w:rsid w:val="00BC46C9"/>
    <w:rsid w:val="00BF6E72"/>
    <w:rsid w:val="00C253FE"/>
    <w:rsid w:val="00C62AAA"/>
    <w:rsid w:val="00C64D1E"/>
    <w:rsid w:val="00C97308"/>
    <w:rsid w:val="00CA471D"/>
    <w:rsid w:val="00CC3708"/>
    <w:rsid w:val="00CD3795"/>
    <w:rsid w:val="00CD5C29"/>
    <w:rsid w:val="00CE3873"/>
    <w:rsid w:val="00CE729C"/>
    <w:rsid w:val="00D435F3"/>
    <w:rsid w:val="00DA1C68"/>
    <w:rsid w:val="00DB5ABC"/>
    <w:rsid w:val="00DC2A9B"/>
    <w:rsid w:val="00DD51F4"/>
    <w:rsid w:val="00DE1B17"/>
    <w:rsid w:val="00DE28BE"/>
    <w:rsid w:val="00E20C6E"/>
    <w:rsid w:val="00E25602"/>
    <w:rsid w:val="00E3001D"/>
    <w:rsid w:val="00E6774D"/>
    <w:rsid w:val="00E928D0"/>
    <w:rsid w:val="00EB4276"/>
    <w:rsid w:val="00ED15C2"/>
    <w:rsid w:val="00EF0AA1"/>
    <w:rsid w:val="00EF3879"/>
    <w:rsid w:val="00EF4521"/>
    <w:rsid w:val="00EF65A9"/>
    <w:rsid w:val="00F027A6"/>
    <w:rsid w:val="00F03B70"/>
    <w:rsid w:val="00F11697"/>
    <w:rsid w:val="00F1790A"/>
    <w:rsid w:val="00F23238"/>
    <w:rsid w:val="00F23CEB"/>
    <w:rsid w:val="00F31DCF"/>
    <w:rsid w:val="00F37296"/>
    <w:rsid w:val="00F9060E"/>
    <w:rsid w:val="00F94B02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25E"/>
  <w15:docId w15:val="{2097E138-5A01-4166-951E-CABD5CE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264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KAZN</cp:lastModifiedBy>
  <cp:revision>171</cp:revision>
  <cp:lastPrinted>2021-09-09T05:32:00Z</cp:lastPrinted>
  <dcterms:created xsi:type="dcterms:W3CDTF">2019-08-30T02:44:00Z</dcterms:created>
  <dcterms:modified xsi:type="dcterms:W3CDTF">2021-10-21T10:56:00Z</dcterms:modified>
</cp:coreProperties>
</file>