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7F" w:rsidRPr="00D4785B" w:rsidRDefault="00480B7F">
      <w:pPr>
        <w:pStyle w:val="30"/>
        <w:shd w:val="clear" w:color="auto" w:fill="auto"/>
        <w:spacing w:after="196"/>
        <w:ind w:left="80"/>
        <w:rPr>
          <w:color w:val="auto"/>
        </w:rPr>
      </w:pPr>
    </w:p>
    <w:p w:rsidR="00480B7F" w:rsidRPr="00D4785B" w:rsidRDefault="00480B7F" w:rsidP="00480B7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4785B">
        <w:rPr>
          <w:rFonts w:ascii="Arial" w:eastAsia="Times New Roman" w:hAnsi="Arial" w:cs="Arial"/>
          <w:b/>
          <w:color w:val="auto"/>
          <w:lang w:bidi="ar-SA"/>
        </w:rPr>
        <w:t>РОССИЙСКАЯ      ФЕДЕРАЦИЯ</w:t>
      </w:r>
    </w:p>
    <w:p w:rsidR="00480B7F" w:rsidRPr="00D4785B" w:rsidRDefault="00480B7F" w:rsidP="00480B7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4785B">
        <w:rPr>
          <w:rFonts w:ascii="Arial" w:eastAsia="Times New Roman" w:hAnsi="Arial" w:cs="Arial"/>
          <w:b/>
          <w:color w:val="auto"/>
          <w:lang w:bidi="ar-SA"/>
        </w:rPr>
        <w:t>ИРКУТСКАЯ ОБЛАСТЬ   ИРКУТСКИЙ РАЙОН</w:t>
      </w:r>
    </w:p>
    <w:p w:rsidR="00480B7F" w:rsidRPr="00D4785B" w:rsidRDefault="00480B7F" w:rsidP="00480B7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4785B">
        <w:rPr>
          <w:rFonts w:ascii="Arial" w:eastAsia="Times New Roman" w:hAnsi="Arial" w:cs="Arial"/>
          <w:b/>
          <w:color w:val="auto"/>
          <w:lang w:bidi="ar-SA"/>
        </w:rPr>
        <w:t>ГОРОХОВСКОЕ МУНИЦИПАЛЬНОЕ ОБРАЗОВАНИЕ</w:t>
      </w:r>
    </w:p>
    <w:p w:rsidR="00480B7F" w:rsidRPr="00D4785B" w:rsidRDefault="00480B7F" w:rsidP="00480B7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80B7F" w:rsidRDefault="00480B7F" w:rsidP="00480B7F">
      <w:pPr>
        <w:widowControl/>
        <w:ind w:right="175"/>
        <w:rPr>
          <w:rFonts w:ascii="Arial" w:eastAsia="Times New Roman" w:hAnsi="Arial" w:cs="Arial"/>
          <w:b/>
          <w:color w:val="auto"/>
          <w:lang w:bidi="ar-SA"/>
        </w:rPr>
      </w:pPr>
      <w:r w:rsidRPr="00D4785B"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Протокол публичных слушаний</w:t>
      </w:r>
    </w:p>
    <w:p w:rsidR="00D4785B" w:rsidRPr="00D4785B" w:rsidRDefault="00D4785B" w:rsidP="00480B7F">
      <w:pPr>
        <w:widowControl/>
        <w:ind w:right="175"/>
        <w:rPr>
          <w:rFonts w:ascii="Arial" w:eastAsia="Times New Roman" w:hAnsi="Arial" w:cs="Arial"/>
          <w:b/>
          <w:color w:val="auto"/>
          <w:lang w:bidi="ar-SA"/>
        </w:rPr>
      </w:pPr>
    </w:p>
    <w:p w:rsidR="00480B7F" w:rsidRPr="00D4785B" w:rsidRDefault="00D4785B" w:rsidP="00480B7F">
      <w:pPr>
        <w:widowControl/>
        <w:ind w:right="175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           12 декабря</w:t>
      </w:r>
      <w:r w:rsidR="00480B7F" w:rsidRPr="00D4785B">
        <w:rPr>
          <w:rFonts w:ascii="Arial" w:eastAsia="Times New Roman" w:hAnsi="Arial" w:cs="Arial"/>
          <w:b/>
          <w:color w:val="auto"/>
          <w:lang w:bidi="ar-SA"/>
        </w:rPr>
        <w:t xml:space="preserve"> 2018года                                                                    14.00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b/>
          <w:color w:val="auto"/>
          <w:lang w:bidi="ar-SA"/>
        </w:rPr>
      </w:pP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b/>
          <w:color w:val="auto"/>
          <w:lang w:bidi="ar-SA"/>
        </w:rPr>
      </w:pPr>
      <w:r w:rsidRPr="00D4785B"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Повестка     дня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1. По проекту решения Думы Гороховского муниципального образования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 xml:space="preserve">    «О бюджете Гороховского муниципального образования на 2019 год и на плановый период 2020-2021годов»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Присутствовали: Пахалуев М.Б.– глава Гороховского МО – председатель слушаний,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Соловьева К.С. – зам. главы Гороховского МО – секретарь слушаний,</w:t>
      </w:r>
    </w:p>
    <w:p w:rsidR="00480B7F" w:rsidRPr="00D4785B" w:rsidRDefault="00480B7F" w:rsidP="00480B7F">
      <w:pPr>
        <w:widowControl/>
        <w:ind w:right="175"/>
        <w:jc w:val="both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Депутаты Думы Гороховского</w:t>
      </w:r>
      <w:r w:rsidR="00413BE3" w:rsidRPr="00D4785B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образования: Серёдкин А.Н. </w:t>
      </w:r>
      <w:r w:rsidRPr="00D4785B">
        <w:rPr>
          <w:rFonts w:ascii="Arial" w:eastAsia="Times New Roman" w:hAnsi="Arial" w:cs="Arial"/>
          <w:color w:val="auto"/>
          <w:lang w:bidi="ar-SA"/>
        </w:rPr>
        <w:t>Хлебников И.Ф., Сарнецкая И.В., Подкарытова Т.А., Елисеев Ф.Г, Горохова М.А.</w:t>
      </w:r>
      <w:r w:rsidR="00413BE3" w:rsidRPr="00D4785B">
        <w:rPr>
          <w:rFonts w:ascii="Arial" w:eastAsia="Times New Roman" w:hAnsi="Arial" w:cs="Arial"/>
          <w:color w:val="auto"/>
          <w:lang w:bidi="ar-SA"/>
        </w:rPr>
        <w:t xml:space="preserve"> Моисеева Г.С.</w:t>
      </w:r>
    </w:p>
    <w:p w:rsidR="00480B7F" w:rsidRPr="00D4785B" w:rsidRDefault="00480B7F" w:rsidP="00480B7F">
      <w:pPr>
        <w:widowControl/>
        <w:ind w:right="175"/>
        <w:jc w:val="both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Сотрудники администрации и МУК «ЦКС» Гороховского МО,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жители  села Горохово –  всего 29 человек.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u w:val="single"/>
          <w:lang w:bidi="ar-SA"/>
        </w:rPr>
        <w:t xml:space="preserve">Слушали: </w:t>
      </w:r>
      <w:r w:rsidRPr="00D4785B">
        <w:rPr>
          <w:rFonts w:ascii="Arial" w:eastAsia="Times New Roman" w:hAnsi="Arial" w:cs="Arial"/>
          <w:color w:val="auto"/>
          <w:lang w:bidi="ar-SA"/>
        </w:rPr>
        <w:t xml:space="preserve"> Пахалуева М.Б. пояснил,  что руководствуясь  статьей 25.1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ст. 17  Устава Гороховского МО, принято решение о вынесении вопроса о проекте решения Думы Гороховского МО   «О бюджете Гороховского муниципального образования на 2019 год и на плановый период 2020-2021годов»,   в соответствующим    с действующим законодательством на публичные слушания.</w:t>
      </w:r>
    </w:p>
    <w:p w:rsidR="00480B7F" w:rsidRPr="00D4785B" w:rsidRDefault="00480B7F" w:rsidP="00480B7F">
      <w:pPr>
        <w:widowControl/>
        <w:ind w:right="175"/>
        <w:jc w:val="both"/>
        <w:rPr>
          <w:rFonts w:ascii="Arial" w:eastAsia="Times New Roman" w:hAnsi="Arial" w:cs="Arial"/>
          <w:color w:val="auto"/>
          <w:lang w:bidi="ar-SA"/>
        </w:rPr>
      </w:pPr>
    </w:p>
    <w:p w:rsidR="00480B7F" w:rsidRPr="00D4785B" w:rsidRDefault="00480B7F" w:rsidP="00480B7F">
      <w:pPr>
        <w:autoSpaceDE w:val="0"/>
        <w:autoSpaceDN w:val="0"/>
        <w:adjustRightInd w:val="0"/>
        <w:ind w:right="175"/>
        <w:jc w:val="both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 xml:space="preserve"> Докладчик: Школьникова Н.Ю.-начальник финансово-экономического отдела администрации Гороховского муниципального образования. </w:t>
      </w:r>
    </w:p>
    <w:p w:rsidR="00480B7F" w:rsidRPr="00D4785B" w:rsidRDefault="00480B7F" w:rsidP="00480B7F">
      <w:pPr>
        <w:widowControl/>
        <w:ind w:right="175"/>
        <w:rPr>
          <w:rFonts w:ascii="Arial" w:eastAsia="Times New Roman" w:hAnsi="Arial" w:cs="Arial"/>
          <w:color w:val="auto"/>
          <w:lang w:bidi="ar-SA"/>
        </w:rPr>
      </w:pPr>
      <w:r w:rsidRPr="00D4785B">
        <w:rPr>
          <w:rFonts w:ascii="Arial" w:eastAsia="Times New Roman" w:hAnsi="Arial" w:cs="Arial"/>
          <w:color w:val="auto"/>
          <w:lang w:bidi="ar-SA"/>
        </w:rPr>
        <w:t>Она предложила слушателям проект решения Думы «О бюджете Гороховского муниципального образования на 2019 год и на плановый период 2020-2021годов»</w:t>
      </w:r>
    </w:p>
    <w:p w:rsidR="00D4785B" w:rsidRDefault="00D4785B" w:rsidP="007517DA">
      <w:pPr>
        <w:widowControl/>
        <w:ind w:firstLine="708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708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</w:t>
      </w:r>
    </w:p>
    <w:p w:rsidR="007517DA" w:rsidRPr="007517DA" w:rsidRDefault="007517DA" w:rsidP="007517DA">
      <w:pPr>
        <w:widowControl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7517DA" w:rsidRPr="007517DA" w:rsidRDefault="007517DA" w:rsidP="007517DA">
      <w:pPr>
        <w:widowControl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Прогнозируемый общий объем доходов бюджета поселения в сумме 11681,53тыс. рублей, из них объем межбюджетных трансфертов, получаемых из других бюджетов бюджетной системы Российской Федерации, в сумме 152,3 тыс. рублей;</w:t>
      </w:r>
    </w:p>
    <w:p w:rsidR="007517DA" w:rsidRPr="007517DA" w:rsidRDefault="007517DA" w:rsidP="007517DA">
      <w:pPr>
        <w:widowControl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Общий объем расходов бюджета поселения в сумме 11964,23 тыс. рублей;</w:t>
      </w:r>
    </w:p>
    <w:p w:rsidR="007517DA" w:rsidRPr="007517DA" w:rsidRDefault="007517DA" w:rsidP="007517DA">
      <w:pPr>
        <w:widowControl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Размер дефицита бюджета поселения в сумме 282,7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7517DA" w:rsidRPr="007517DA" w:rsidRDefault="007517DA" w:rsidP="007517DA">
      <w:pPr>
        <w:widowControl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2. Утвердить основные характеристики бюджета поселения на плановый период 2020 и 2021 годов: </w:t>
      </w:r>
    </w:p>
    <w:p w:rsidR="007517DA" w:rsidRPr="007517DA" w:rsidRDefault="007517DA" w:rsidP="007517DA">
      <w:pPr>
        <w:widowControl/>
        <w:ind w:firstLine="708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Прогнозируемый общий объем доходов бюджета поселения на 2020 год в сумме 4358,07 тыс. рублей, из них объем межбюджетных трансфертов, получаемых из других бюджетов бюджетной системы Российской Федерации, в </w:t>
      </w:r>
      <w:r w:rsidRPr="007517DA">
        <w:rPr>
          <w:rFonts w:ascii="Arial" w:eastAsia="Arial" w:hAnsi="Arial" w:cs="Arial"/>
          <w:color w:val="auto"/>
          <w:szCs w:val="22"/>
          <w:lang w:bidi="ar-SA"/>
        </w:rPr>
        <w:lastRenderedPageBreak/>
        <w:t xml:space="preserve">сумме 143,3тыс. рублей, на 2021 год в сумме 4554,6тыс. рублей, из них объем межбюджетных трансфертов, получаемых из других бюджетов бюджетной системы Российской Федерации в сумме 143,3тыс. рублей; </w:t>
      </w:r>
    </w:p>
    <w:p w:rsidR="007517DA" w:rsidRPr="007517DA" w:rsidRDefault="007517DA" w:rsidP="007517DA">
      <w:pPr>
        <w:widowControl/>
        <w:ind w:firstLine="708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общий объем расходов  бюджета  поселения на 2020 год в сумме 4674,17 тыс. рублей, в том числе  условно утвержденные расходы в сумме 113,3 тыс. рублей, на 2021 год в сумме 4885,4тыс. рублей, в том числе условно утвержденные расходы в сумме 237,1 тыс. рублей; </w:t>
      </w:r>
    </w:p>
    <w:p w:rsidR="007517DA" w:rsidRPr="007517DA" w:rsidRDefault="007517DA" w:rsidP="007517DA">
      <w:pPr>
        <w:widowControl/>
        <w:ind w:firstLine="709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размер дефицита бюджета поселения  на 2020год в сумме 316,1 тыс. рублей, или 7,5%  утвержденного общего годового объема доходов  бюджета поселения без учета утвержденного объема безвозмездных поступлений, на 2021год в сумме 330,8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7517DA" w:rsidRPr="007517DA" w:rsidRDefault="007517DA" w:rsidP="007517DA">
      <w:pPr>
        <w:widowControl/>
        <w:ind w:firstLine="709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709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 xml:space="preserve">Статья 2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Установить, что доходы бюджета поселения, поступающие в 2019 - 2021годах, формируются за счет: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1) налоговых доходов, в том числе: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2) неналоговых доходов,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3) безвозмездных поступлений.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3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Установить прогнозируемые доходы бюджета поселения на 2019 год и на плановый период 2020-2021 годов по классификации доходов бюджетов Российской Федерации согласно приложениям 1, 2 к настоящему решению Думы.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4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Утвердить перечень главных администраторов доходов бюджета Гороховского муниципального образования на 2019 год и на плановый период 2020 и 2021 годов согласно приложению 3 к настоящему решению Думы.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5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Утвердить перечень главных администраторов источников финансирования дефицита бюджета Гороховского МО на 2019 год и на плановый период 2020 и 2021 годов согласно приложению 4 к настоящему решению Думы.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6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Утвердить распределение бюджетных ассигнований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1) по разделам и подразделам классификации расходов бюджетов на 2019 год и на плановый период 2020 и 2021годов согласно приложениям 5, 6 к настоящему решению Думы;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2) по разделам, подразделам, целевым статьям, группам (группам и подгруппам) видов расходов классификации расходов бюджетов Российской Федерации на 2019 год и на плановый период 2020 и 2021годов согласно приложениям 7, 8 к настоящему решению Думы;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3) ведомственной структуры расходов бюджета Гороховского муниципального образования на 2019 год и на плановый период 2020 и 2021годов согласно приложениям 9, 10 к настоящему решению Думы.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7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2019 год в размере 20,0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2020 год в размере 5,0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2021 год в размере 5,0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8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на 2019 год в сумме 97,86тыс.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на 2020 год в сумме 0 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на 2021 год в сумме 0 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9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517DA">
        <w:rPr>
          <w:rFonts w:ascii="Arial" w:eastAsia="Arial" w:hAnsi="Arial" w:cs="Arial"/>
          <w:color w:val="auto"/>
          <w:szCs w:val="22"/>
          <w:lang w:bidi="ar-SA"/>
        </w:rPr>
        <w:t>на 2019 год в сумме 1375,7 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на 2020 год в сумме 1765,13 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на 2021 год в сумме 1902,96 тыс. руб.;</w:t>
      </w:r>
    </w:p>
    <w:p w:rsidR="007517DA" w:rsidRPr="007517DA" w:rsidRDefault="007517DA" w:rsidP="007517DA">
      <w:pPr>
        <w:widowControl/>
        <w:ind w:firstLine="51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10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11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Утвердить предельный объём муниципального долга Гороховского муниципального образования:  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2019год в сумме 3769,63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2020год в сумме 4214,77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2021год в сумме 4411,30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12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на 1 января 2020года в сумме 282,7 тыс. рублей, в том числе   придельный объем обязательств по муниципальным гарантиям - 0 тыс. руб.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на 1 января 2021 года в сумме 316,1 тыс. рублей, в том числе предельный объем по долговым обязательствам по муниципальным гарантиям – 0 тыс. руб.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на 1 января 2022 года в сумме 330,8 тыс. рублей, в том числе предельный объем по долговым обязательствам по муниципальным гарантиям – 0 тыс. руб.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13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lastRenderedPageBreak/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2019год и на плановый период 2020-2021годов: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2019 год в сумме 0,00 тыс.руб.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2020 год в сумме 0,00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 2021 год в сумме 0,00 тыс. руб.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14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Утвердить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2019год и на  плановый период 2020 и 2021годов согласно приложениям 11, 12 к настоящему решению Думы.   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B20B73" w:rsidP="00B20B73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       </w:t>
      </w:r>
      <w:r w:rsidR="007517DA" w:rsidRPr="007517DA">
        <w:rPr>
          <w:rFonts w:ascii="Arial" w:eastAsia="Times New Roman" w:hAnsi="Arial" w:cs="Arial"/>
          <w:b/>
          <w:color w:val="auto"/>
          <w:lang w:bidi="ar-SA"/>
        </w:rPr>
        <w:t>Статья 15</w:t>
      </w:r>
    </w:p>
    <w:p w:rsidR="007517DA" w:rsidRPr="007517DA" w:rsidRDefault="007517DA" w:rsidP="007517D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517DA">
        <w:rPr>
          <w:rFonts w:ascii="Arial" w:eastAsia="Times New Roman" w:hAnsi="Arial" w:cs="Arial"/>
          <w:color w:val="auto"/>
          <w:lang w:bidi="ar-SA"/>
        </w:rPr>
        <w:t>Утвердить программу муниципальных внутренних заимствований Гороховского муниципального образования на 2019 год и на плановый период 2020 и 2021 годов согласно приложениям 13, 14 к настоящему решению Думы.</w:t>
      </w: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10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 xml:space="preserve"> </w:t>
      </w: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16</w:t>
      </w: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Настоящее решение вступает в силу с 1 января 2019года.</w:t>
      </w: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b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b/>
          <w:color w:val="auto"/>
          <w:szCs w:val="22"/>
          <w:lang w:bidi="ar-SA"/>
        </w:rPr>
        <w:t>Статья 17</w:t>
      </w:r>
    </w:p>
    <w:p w:rsidR="007517DA" w:rsidRDefault="007517DA" w:rsidP="007517DA">
      <w:pPr>
        <w:widowControl/>
        <w:ind w:firstLine="567"/>
        <w:jc w:val="both"/>
        <w:rPr>
          <w:rFonts w:ascii="Arial" w:eastAsia="Arial" w:hAnsi="Arial" w:cs="Arial"/>
          <w:color w:val="auto"/>
          <w:szCs w:val="22"/>
          <w:lang w:bidi="ar-SA"/>
        </w:rPr>
      </w:pPr>
      <w:r w:rsidRPr="007517DA">
        <w:rPr>
          <w:rFonts w:ascii="Arial" w:eastAsia="Arial" w:hAnsi="Arial" w:cs="Arial"/>
          <w:color w:val="auto"/>
          <w:szCs w:val="22"/>
          <w:lang w:bidi="ar-SA"/>
        </w:rPr>
        <w:t>Опубликовать настоящее решение в информационном бюллетене «Вестник» Гороховского М.О.</w:t>
      </w:r>
    </w:p>
    <w:p w:rsidR="007517DA" w:rsidRPr="007517DA" w:rsidRDefault="007517DA" w:rsidP="007517DA">
      <w:pPr>
        <w:widowControl/>
        <w:ind w:firstLine="567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42189A" w:rsidRDefault="007D6E9D">
      <w:pPr>
        <w:pStyle w:val="20"/>
        <w:shd w:val="clear" w:color="auto" w:fill="auto"/>
        <w:ind w:right="200" w:firstLine="320"/>
      </w:pPr>
      <w:r>
        <w:t>Выступил: Хлебников И.Ф. предложил одобрить и внести на заседание Думы</w:t>
      </w:r>
      <w:r>
        <w:br/>
        <w:t>Гороховского МО на утверждение проект решения Думы «О бюджете</w:t>
      </w:r>
      <w:r>
        <w:br/>
        <w:t>Гороховского му</w:t>
      </w:r>
      <w:r w:rsidR="00B20B73">
        <w:t>ниципального образования на 2019год и плановый период 2020-</w:t>
      </w:r>
      <w:r w:rsidR="00B20B73">
        <w:br/>
        <w:t>2021</w:t>
      </w:r>
      <w:r>
        <w:t>годов»</w:t>
      </w:r>
    </w:p>
    <w:p w:rsidR="0042189A" w:rsidRDefault="007D6E9D">
      <w:pPr>
        <w:pStyle w:val="20"/>
        <w:shd w:val="clear" w:color="auto" w:fill="auto"/>
        <w:ind w:firstLine="580"/>
        <w:jc w:val="left"/>
      </w:pPr>
      <w:r>
        <w:t>Голосовали:</w:t>
      </w:r>
    </w:p>
    <w:p w:rsidR="0042189A" w:rsidRDefault="007D6E9D">
      <w:pPr>
        <w:pStyle w:val="20"/>
        <w:shd w:val="clear" w:color="auto" w:fill="auto"/>
        <w:ind w:left="580" w:right="6580" w:firstLine="80"/>
        <w:jc w:val="left"/>
      </w:pPr>
      <w:r>
        <w:t>«За» - 29 человек</w:t>
      </w:r>
      <w:r>
        <w:br/>
        <w:t>«Против» - 0</w:t>
      </w:r>
      <w:r>
        <w:br/>
        <w:t>«Воздержались» - 0</w:t>
      </w:r>
      <w:r>
        <w:br/>
        <w:t>Решили:</w:t>
      </w:r>
    </w:p>
    <w:p w:rsidR="0042189A" w:rsidRDefault="007D6E9D">
      <w:pPr>
        <w:pStyle w:val="20"/>
        <w:shd w:val="clear" w:color="auto" w:fill="auto"/>
        <w:ind w:right="200" w:firstLine="580"/>
        <w:sectPr w:rsidR="0042189A">
          <w:pgSz w:w="11900" w:h="16840"/>
          <w:pgMar w:top="1097" w:right="936" w:bottom="1371" w:left="1518" w:header="0" w:footer="3" w:gutter="0"/>
          <w:cols w:space="720"/>
          <w:noEndnote/>
          <w:docGrid w:linePitch="360"/>
        </w:sectPr>
      </w:pPr>
      <w:r>
        <w:t>Рекомендовать Думе Гороховского муниципального образования</w:t>
      </w:r>
      <w:r>
        <w:br/>
        <w:t>рассмотреть проект решения Думы «О бюджете Гороховского му</w:t>
      </w:r>
      <w:r w:rsidR="00D4785B">
        <w:t>н</w:t>
      </w:r>
      <w:r w:rsidR="00613383">
        <w:t>иципального</w:t>
      </w:r>
      <w:r w:rsidR="00613383">
        <w:br/>
        <w:t>образования на 2019</w:t>
      </w:r>
      <w:r w:rsidR="00D4785B">
        <w:t>год и плановый период 2020-2021</w:t>
      </w:r>
      <w:r>
        <w:t xml:space="preserve"> годов».</w:t>
      </w:r>
    </w:p>
    <w:p w:rsidR="0042189A" w:rsidRDefault="00D4785B">
      <w:pPr>
        <w:spacing w:line="210" w:lineRule="exact"/>
        <w:rPr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9pt;margin-top:20.75pt;width:84.2pt;height:41.05pt;z-index:-251658752;mso-wrap-distance-left:5pt;mso-wrap-distance-right:52.2pt;mso-position-horizontal-relative:margin" filled="f" stroked="f">
            <v:textbox inset="0,0,0,0">
              <w:txbxContent>
                <w:p w:rsidR="0042189A" w:rsidRDefault="007D6E9D">
                  <w:pPr>
                    <w:pStyle w:val="20"/>
                    <w:shd w:val="clear" w:color="auto" w:fill="auto"/>
                    <w:spacing w:after="296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Председатель</w:t>
                  </w:r>
                </w:p>
                <w:p w:rsidR="0042189A" w:rsidRDefault="007D6E9D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Секретарь</w:t>
                  </w:r>
                </w:p>
              </w:txbxContent>
            </v:textbox>
            <w10:wrap type="square" side="right" anchorx="margin"/>
          </v:shape>
        </w:pict>
      </w:r>
    </w:p>
    <w:p w:rsidR="0042189A" w:rsidRDefault="0042189A">
      <w:pPr>
        <w:rPr>
          <w:sz w:val="2"/>
          <w:szCs w:val="2"/>
        </w:rPr>
        <w:sectPr w:rsidR="0042189A">
          <w:type w:val="continuous"/>
          <w:pgSz w:w="11900" w:h="16840"/>
          <w:pgMar w:top="1188" w:right="0" w:bottom="1188" w:left="0" w:header="0" w:footer="3" w:gutter="0"/>
          <w:cols w:space="720"/>
          <w:noEndnote/>
          <w:docGrid w:linePitch="360"/>
        </w:sectPr>
      </w:pPr>
    </w:p>
    <w:p w:rsidR="0042189A" w:rsidRDefault="0042189A">
      <w:pPr>
        <w:rPr>
          <w:sz w:val="2"/>
          <w:szCs w:val="2"/>
        </w:rPr>
      </w:pPr>
    </w:p>
    <w:p w:rsidR="0042189A" w:rsidRDefault="0042189A">
      <w:pPr>
        <w:pStyle w:val="10"/>
        <w:keepNext/>
        <w:keepLines/>
        <w:shd w:val="clear" w:color="auto" w:fill="auto"/>
        <w:spacing w:line="420" w:lineRule="exact"/>
        <w:rPr>
          <w:vertAlign w:val="superscript"/>
        </w:rPr>
      </w:pPr>
    </w:p>
    <w:p w:rsidR="00D4785B" w:rsidRDefault="00D4785B">
      <w:pPr>
        <w:pStyle w:val="10"/>
        <w:keepNext/>
        <w:keepLines/>
        <w:shd w:val="clear" w:color="auto" w:fill="auto"/>
        <w:spacing w:line="420" w:lineRule="exact"/>
      </w:pPr>
    </w:p>
    <w:p w:rsidR="0042189A" w:rsidRDefault="007D6E9D">
      <w:pPr>
        <w:pStyle w:val="20"/>
        <w:shd w:val="clear" w:color="auto" w:fill="auto"/>
        <w:spacing w:line="544" w:lineRule="exact"/>
        <w:ind w:left="160" w:hanging="160"/>
        <w:jc w:val="left"/>
      </w:pPr>
      <w:r>
        <w:br w:type="column"/>
      </w:r>
      <w:r>
        <w:lastRenderedPageBreak/>
        <w:t>М.Б.Пахалуев</w:t>
      </w:r>
      <w:bookmarkStart w:id="0" w:name="_GoBack"/>
      <w:bookmarkEnd w:id="0"/>
      <w:r>
        <w:br/>
        <w:t>КС.Соловьева</w:t>
      </w:r>
    </w:p>
    <w:sectPr w:rsidR="0042189A">
      <w:type w:val="continuous"/>
      <w:pgSz w:w="11900" w:h="16840"/>
      <w:pgMar w:top="1188" w:right="1346" w:bottom="1188" w:left="4831" w:header="0" w:footer="3" w:gutter="0"/>
      <w:cols w:num="2" w:space="18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A1" w:rsidRDefault="00590EA1">
      <w:r>
        <w:separator/>
      </w:r>
    </w:p>
  </w:endnote>
  <w:endnote w:type="continuationSeparator" w:id="0">
    <w:p w:rsidR="00590EA1" w:rsidRDefault="005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A1" w:rsidRDefault="00590EA1"/>
  </w:footnote>
  <w:footnote w:type="continuationSeparator" w:id="0">
    <w:p w:rsidR="00590EA1" w:rsidRDefault="00590E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355"/>
    <w:multiLevelType w:val="multilevel"/>
    <w:tmpl w:val="98F694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B4DA4"/>
    <w:multiLevelType w:val="multilevel"/>
    <w:tmpl w:val="9F4E0F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B399D"/>
    <w:multiLevelType w:val="multilevel"/>
    <w:tmpl w:val="D6D8A7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624CA"/>
    <w:multiLevelType w:val="multilevel"/>
    <w:tmpl w:val="27265DA2"/>
    <w:lvl w:ilvl="0">
      <w:start w:val="20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9A"/>
    <w:rsid w:val="00413BE3"/>
    <w:rsid w:val="0042189A"/>
    <w:rsid w:val="00480B7F"/>
    <w:rsid w:val="00590EA1"/>
    <w:rsid w:val="00613383"/>
    <w:rsid w:val="007517DA"/>
    <w:rsid w:val="007D6E9D"/>
    <w:rsid w:val="00B20B73"/>
    <w:rsid w:val="00C45A39"/>
    <w:rsid w:val="00D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85F814-342E-4B2B-B411-8C8FD0D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7pt">
    <w:name w:val="Основной текст (3) + 17 pt;Не 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4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2018-12-19T01:01:00Z</dcterms:created>
  <dcterms:modified xsi:type="dcterms:W3CDTF">2018-12-19T01:20:00Z</dcterms:modified>
</cp:coreProperties>
</file>